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C6E93" w14:textId="3CB611F1" w:rsidR="00647E3C" w:rsidRDefault="00647E3C" w:rsidP="002D5611">
      <w:pPr>
        <w:suppressLineNumbers/>
        <w:jc w:val="center"/>
        <w:rPr>
          <w:rFonts w:ascii="Arial" w:hAnsi="Arial"/>
        </w:rPr>
      </w:pPr>
      <w:r>
        <w:fldChar w:fldCharType="begin"/>
      </w:r>
      <w:r>
        <w:instrText xml:space="preserve"> SEQ CHAPTER \h \r 1</w:instrText>
      </w:r>
      <w:r>
        <w:fldChar w:fldCharType="end"/>
      </w:r>
      <w:r w:rsidR="0017601D">
        <w:rPr>
          <w:rFonts w:ascii="Arial" w:hAnsi="Arial"/>
          <w:sz w:val="30"/>
        </w:rPr>
        <w:t xml:space="preserve">ORDINANCE </w:t>
      </w:r>
      <w:r>
        <w:rPr>
          <w:rFonts w:ascii="Arial" w:hAnsi="Arial"/>
          <w:sz w:val="30"/>
        </w:rPr>
        <w:t>ADMINISTRATIVE FACT SHEET</w:t>
      </w:r>
    </w:p>
    <w:p w14:paraId="7B3C6E94" w14:textId="77777777" w:rsidR="00647E3C" w:rsidRDefault="00647E3C" w:rsidP="0075072A">
      <w:pPr>
        <w:suppressLineNumbers/>
        <w:jc w:val="center"/>
        <w:rPr>
          <w:rFonts w:ascii="Arial" w:hAnsi="Arial"/>
        </w:rPr>
      </w:pPr>
    </w:p>
    <w:tbl>
      <w:tblPr>
        <w:tblW w:w="0" w:type="auto"/>
        <w:tblInd w:w="113"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3060"/>
        <w:gridCol w:w="1980"/>
        <w:gridCol w:w="2250"/>
      </w:tblGrid>
      <w:tr w:rsidR="00647E3C" w14:paraId="7B3C6E97" w14:textId="77777777">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95" w14:textId="77777777" w:rsidR="00647E3C" w:rsidRDefault="00647E3C">
            <w:pPr>
              <w:spacing w:before="84" w:after="42"/>
              <w:rPr>
                <w:rFonts w:ascii="Arial" w:hAnsi="Arial"/>
              </w:rPr>
            </w:pPr>
            <w:r>
              <w:rPr>
                <w:rFonts w:ascii="Arial" w:hAnsi="Arial"/>
              </w:rPr>
              <w:t>Title of O/R:</w:t>
            </w:r>
          </w:p>
        </w:tc>
        <w:tc>
          <w:tcPr>
            <w:tcW w:w="4230" w:type="dxa"/>
            <w:gridSpan w:val="2"/>
            <w:tcBorders>
              <w:top w:val="single" w:sz="5" w:space="0" w:color="000000"/>
              <w:left w:val="single" w:sz="5" w:space="0" w:color="000000"/>
              <w:bottom w:val="single" w:sz="5" w:space="0" w:color="000000"/>
              <w:right w:val="single" w:sz="5" w:space="0" w:color="000000"/>
            </w:tcBorders>
            <w:tcMar>
              <w:left w:w="113" w:type="dxa"/>
              <w:right w:w="113" w:type="dxa"/>
            </w:tcMar>
          </w:tcPr>
          <w:p w14:paraId="7B3C6E96" w14:textId="1DD06F5A" w:rsidR="00647E3C" w:rsidRPr="001F4F12" w:rsidRDefault="00774020" w:rsidP="001F4F12">
            <w:pPr>
              <w:spacing w:before="84" w:after="42"/>
              <w:rPr>
                <w:rFonts w:ascii="Arial" w:hAnsi="Arial"/>
                <w:sz w:val="20"/>
              </w:rPr>
            </w:pPr>
            <w:r>
              <w:rPr>
                <w:rFonts w:ascii="Arial" w:hAnsi="Arial"/>
                <w:sz w:val="20"/>
              </w:rPr>
              <w:t>APPROVE SECOND AMENDMENT TO MILLPOINTER PROPERTY RESIDENTIAL USE AGREEMENT</w:t>
            </w:r>
          </w:p>
        </w:tc>
      </w:tr>
      <w:tr w:rsidR="00FE4FF1" w14:paraId="7B3C6E9A" w14:textId="77777777">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98" w14:textId="77777777" w:rsidR="00FE4FF1" w:rsidRDefault="00FE4FF1" w:rsidP="00FE4FF1">
            <w:pPr>
              <w:spacing w:before="84" w:after="42"/>
              <w:rPr>
                <w:rFonts w:ascii="Arial" w:hAnsi="Arial"/>
              </w:rPr>
            </w:pPr>
            <w:r>
              <w:rPr>
                <w:rFonts w:ascii="Arial" w:hAnsi="Arial"/>
              </w:rPr>
              <w:t>Submitting Department:</w:t>
            </w:r>
          </w:p>
        </w:tc>
        <w:tc>
          <w:tcPr>
            <w:tcW w:w="4230" w:type="dxa"/>
            <w:gridSpan w:val="2"/>
            <w:tcBorders>
              <w:top w:val="single" w:sz="5" w:space="0" w:color="000000"/>
              <w:left w:val="single" w:sz="5" w:space="0" w:color="000000"/>
              <w:bottom w:val="single" w:sz="5" w:space="0" w:color="000000"/>
              <w:right w:val="single" w:sz="5" w:space="0" w:color="000000"/>
            </w:tcBorders>
            <w:tcMar>
              <w:left w:w="113" w:type="dxa"/>
              <w:right w:w="113" w:type="dxa"/>
            </w:tcMar>
          </w:tcPr>
          <w:p w14:paraId="7B3C6E99" w14:textId="5B93AD68" w:rsidR="00FE4FF1" w:rsidRDefault="00FE4FF1" w:rsidP="00FE4FF1">
            <w:pPr>
              <w:spacing w:before="84" w:after="42"/>
              <w:rPr>
                <w:rFonts w:ascii="Arial" w:hAnsi="Arial"/>
              </w:rPr>
            </w:pPr>
            <w:r>
              <w:rPr>
                <w:rFonts w:ascii="Arial" w:hAnsi="Arial"/>
              </w:rPr>
              <w:t>Parks and Land Use</w:t>
            </w:r>
          </w:p>
        </w:tc>
      </w:tr>
      <w:tr w:rsidR="00FE4FF1" w14:paraId="7B3C6E9E" w14:textId="77777777">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9B" w14:textId="77777777" w:rsidR="00FE4FF1" w:rsidRDefault="00FE4FF1" w:rsidP="00FE4FF1">
            <w:pPr>
              <w:spacing w:before="84"/>
              <w:rPr>
                <w:rFonts w:ascii="Arial" w:hAnsi="Arial"/>
              </w:rPr>
            </w:pPr>
            <w:r>
              <w:rPr>
                <w:rFonts w:ascii="Arial" w:hAnsi="Arial"/>
              </w:rPr>
              <w:t>Department Contact(s):</w:t>
            </w:r>
          </w:p>
          <w:p w14:paraId="7B3C6E9C" w14:textId="77777777" w:rsidR="00FE4FF1" w:rsidRDefault="00FE4FF1" w:rsidP="00FE4FF1">
            <w:pPr>
              <w:spacing w:after="42"/>
              <w:rPr>
                <w:rFonts w:ascii="Arial" w:hAnsi="Arial"/>
              </w:rPr>
            </w:pPr>
            <w:r>
              <w:rPr>
                <w:rFonts w:ascii="Arial" w:hAnsi="Arial"/>
                <w:sz w:val="18"/>
              </w:rPr>
              <w:t>(Include dept. manager or staff who has worked on this ordinance in addition to the dept. head)</w:t>
            </w:r>
          </w:p>
        </w:tc>
        <w:tc>
          <w:tcPr>
            <w:tcW w:w="4230" w:type="dxa"/>
            <w:gridSpan w:val="2"/>
            <w:tcBorders>
              <w:top w:val="single" w:sz="5" w:space="0" w:color="000000"/>
              <w:left w:val="single" w:sz="5" w:space="0" w:color="000000"/>
              <w:bottom w:val="single" w:sz="5" w:space="0" w:color="000000"/>
              <w:right w:val="single" w:sz="5" w:space="0" w:color="000000"/>
            </w:tcBorders>
            <w:tcMar>
              <w:left w:w="113" w:type="dxa"/>
              <w:right w:w="113" w:type="dxa"/>
            </w:tcMar>
          </w:tcPr>
          <w:p w14:paraId="4B7047F2" w14:textId="77777777" w:rsidR="00FE4FF1" w:rsidRDefault="00FE4FF1" w:rsidP="00FE4FF1">
            <w:pPr>
              <w:spacing w:before="84" w:after="42"/>
              <w:rPr>
                <w:rFonts w:ascii="Arial" w:hAnsi="Arial"/>
              </w:rPr>
            </w:pPr>
            <w:r>
              <w:rPr>
                <w:rFonts w:ascii="Arial" w:hAnsi="Arial"/>
              </w:rPr>
              <w:t>Rebecca Mattano</w:t>
            </w:r>
          </w:p>
          <w:p w14:paraId="7B3C6E9D" w14:textId="2D84EE99" w:rsidR="00FE4FF1" w:rsidRDefault="00FE4FF1" w:rsidP="00FE4FF1">
            <w:pPr>
              <w:spacing w:before="84" w:after="42"/>
              <w:rPr>
                <w:rFonts w:ascii="Arial" w:hAnsi="Arial"/>
              </w:rPr>
            </w:pPr>
            <w:r>
              <w:rPr>
                <w:rFonts w:ascii="Arial" w:hAnsi="Arial"/>
              </w:rPr>
              <w:t>Dale Shaver</w:t>
            </w:r>
          </w:p>
        </w:tc>
      </w:tr>
      <w:tr w:rsidR="00FE4FF1" w14:paraId="7B3C6EA1" w14:textId="77777777">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9F" w14:textId="77777777" w:rsidR="00FE4FF1" w:rsidRDefault="00FE4FF1" w:rsidP="00FE4FF1">
            <w:pPr>
              <w:spacing w:before="84"/>
              <w:rPr>
                <w:rFonts w:ascii="Arial" w:hAnsi="Arial"/>
              </w:rPr>
            </w:pPr>
            <w:r>
              <w:rPr>
                <w:rFonts w:ascii="Arial" w:hAnsi="Arial"/>
              </w:rPr>
              <w:t>Who will appear at committee meetings?</w:t>
            </w:r>
          </w:p>
        </w:tc>
        <w:tc>
          <w:tcPr>
            <w:tcW w:w="4230" w:type="dxa"/>
            <w:gridSpan w:val="2"/>
            <w:tcBorders>
              <w:top w:val="single" w:sz="5" w:space="0" w:color="000000"/>
              <w:left w:val="single" w:sz="5" w:space="0" w:color="000000"/>
              <w:bottom w:val="single" w:sz="5" w:space="0" w:color="000000"/>
              <w:right w:val="single" w:sz="5" w:space="0" w:color="000000"/>
            </w:tcBorders>
            <w:tcMar>
              <w:left w:w="113" w:type="dxa"/>
              <w:right w:w="113" w:type="dxa"/>
            </w:tcMar>
          </w:tcPr>
          <w:p w14:paraId="7B3C6EA0" w14:textId="5FC23BB2" w:rsidR="00FE4FF1" w:rsidRDefault="00FE4FF1" w:rsidP="00FE4FF1">
            <w:pPr>
              <w:spacing w:before="84" w:after="42"/>
              <w:rPr>
                <w:rFonts w:ascii="Arial" w:hAnsi="Arial"/>
              </w:rPr>
            </w:pPr>
            <w:r>
              <w:rPr>
                <w:rFonts w:ascii="Arial" w:hAnsi="Arial"/>
              </w:rPr>
              <w:t>Rebecca Mattano</w:t>
            </w:r>
          </w:p>
        </w:tc>
      </w:tr>
      <w:tr w:rsidR="00FE4FF1" w14:paraId="7B3C6EA7" w14:textId="77777777" w:rsidTr="004C3D8B">
        <w:trPr>
          <w:cantSplit/>
          <w:trHeight w:val="1176"/>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A2" w14:textId="77777777" w:rsidR="00FE4FF1" w:rsidRDefault="00FE4FF1" w:rsidP="00FE4FF1">
            <w:pPr>
              <w:spacing w:before="84"/>
              <w:rPr>
                <w:rFonts w:ascii="Arial" w:hAnsi="Arial"/>
              </w:rPr>
            </w:pPr>
            <w:r>
              <w:rPr>
                <w:rFonts w:ascii="Arial" w:hAnsi="Arial"/>
              </w:rPr>
              <w:t>Date of Co. Board Meeting at which you plan O/R to be considered:</w:t>
            </w:r>
          </w:p>
        </w:tc>
        <w:tc>
          <w:tcPr>
            <w:tcW w:w="198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A3" w14:textId="55C615EE" w:rsidR="00FE4FF1" w:rsidRDefault="00FE4FF1" w:rsidP="00FE4FF1">
            <w:pPr>
              <w:spacing w:before="84" w:after="42"/>
              <w:rPr>
                <w:rFonts w:ascii="Arial" w:hAnsi="Arial"/>
              </w:rPr>
            </w:pPr>
            <w:r>
              <w:rPr>
                <w:rFonts w:ascii="Arial" w:hAnsi="Arial"/>
              </w:rPr>
              <w:t>03/26/2019</w:t>
            </w:r>
          </w:p>
        </w:tc>
        <w:tc>
          <w:tcPr>
            <w:tcW w:w="2250" w:type="dxa"/>
            <w:tcBorders>
              <w:top w:val="single" w:sz="5" w:space="0" w:color="000000"/>
              <w:left w:val="single" w:sz="5" w:space="0" w:color="000000"/>
              <w:bottom w:val="single" w:sz="5" w:space="0" w:color="000000"/>
              <w:right w:val="single" w:sz="5" w:space="0" w:color="000000"/>
            </w:tcBorders>
          </w:tcPr>
          <w:p w14:paraId="7B3C6EA4" w14:textId="77777777" w:rsidR="00FE4FF1" w:rsidRDefault="00FE4FF1" w:rsidP="00FE4FF1">
            <w:pPr>
              <w:spacing w:before="84" w:after="42"/>
              <w:rPr>
                <w:rFonts w:ascii="Arial" w:hAnsi="Arial"/>
                <w:sz w:val="18"/>
                <w:szCs w:val="18"/>
              </w:rPr>
            </w:pPr>
            <w:r w:rsidRPr="00BA349D">
              <w:rPr>
                <w:rFonts w:ascii="Arial" w:hAnsi="Arial"/>
                <w:sz w:val="18"/>
                <w:szCs w:val="18"/>
              </w:rPr>
              <w:t>Fiscal Note by DOA?</w:t>
            </w:r>
          </w:p>
          <w:p w14:paraId="7B3C6EA5" w14:textId="606E9522" w:rsidR="00FE4FF1" w:rsidRPr="00BA349D" w:rsidRDefault="00FE4FF1" w:rsidP="00FE4FF1">
            <w:pPr>
              <w:spacing w:before="84" w:after="42"/>
              <w:rPr>
                <w:rFonts w:ascii="Arial" w:hAnsi="Arial"/>
                <w:sz w:val="18"/>
                <w:szCs w:val="18"/>
              </w:rPr>
            </w:pPr>
          </w:p>
          <w:p w14:paraId="7B3C6EA6" w14:textId="03DA343A" w:rsidR="00FE4FF1" w:rsidRDefault="00802008" w:rsidP="00FE4FF1">
            <w:pPr>
              <w:spacing w:before="84" w:after="42"/>
              <w:rPr>
                <w:rFonts w:ascii="Arial" w:hAnsi="Arial"/>
              </w:rPr>
            </w:pPr>
            <w:r>
              <w:rPr>
                <w:rFonts w:ascii="Arial" w:hAnsi="Arial"/>
              </w:rPr>
              <w:t xml:space="preserve">  No</w:t>
            </w:r>
          </w:p>
        </w:tc>
      </w:tr>
      <w:tr w:rsidR="00FE4FF1" w14:paraId="7B3C6EAB" w14:textId="77777777" w:rsidTr="00BA349D">
        <w:trPr>
          <w:cantSplit/>
        </w:trPr>
        <w:tc>
          <w:tcPr>
            <w:tcW w:w="306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A8" w14:textId="77777777" w:rsidR="00FE4FF1" w:rsidRDefault="00FE4FF1" w:rsidP="00FE4FF1">
            <w:pPr>
              <w:spacing w:before="84" w:after="42"/>
              <w:rPr>
                <w:rFonts w:ascii="Arial" w:hAnsi="Arial"/>
              </w:rPr>
            </w:pPr>
            <w:r>
              <w:rPr>
                <w:rFonts w:ascii="Arial" w:hAnsi="Arial"/>
              </w:rPr>
              <w:t>Routing Number:</w:t>
            </w:r>
          </w:p>
        </w:tc>
        <w:tc>
          <w:tcPr>
            <w:tcW w:w="1980" w:type="dxa"/>
            <w:tcBorders>
              <w:top w:val="single" w:sz="5" w:space="0" w:color="000000"/>
              <w:left w:val="single" w:sz="5" w:space="0" w:color="000000"/>
              <w:bottom w:val="single" w:sz="5" w:space="0" w:color="000000"/>
              <w:right w:val="single" w:sz="5" w:space="0" w:color="000000"/>
            </w:tcBorders>
            <w:tcMar>
              <w:left w:w="113" w:type="dxa"/>
              <w:right w:w="113" w:type="dxa"/>
            </w:tcMar>
          </w:tcPr>
          <w:p w14:paraId="7B3C6EA9" w14:textId="253FAD41" w:rsidR="00FE4FF1" w:rsidRDefault="00FE4FF1" w:rsidP="00052104">
            <w:pPr>
              <w:spacing w:before="84" w:after="42"/>
              <w:rPr>
                <w:rFonts w:ascii="Arial" w:hAnsi="Arial"/>
              </w:rPr>
            </w:pPr>
            <w:r w:rsidRPr="00BA349D">
              <w:rPr>
                <w:rFonts w:ascii="Arial" w:hAnsi="Arial"/>
                <w:sz w:val="18"/>
                <w:szCs w:val="18"/>
              </w:rPr>
              <w:t>Routing #</w:t>
            </w:r>
            <w:r w:rsidR="00052104">
              <w:rPr>
                <w:rFonts w:ascii="Arial" w:hAnsi="Arial"/>
                <w:sz w:val="18"/>
                <w:szCs w:val="18"/>
              </w:rPr>
              <w:t xml:space="preserve"> 100</w:t>
            </w:r>
            <w:r>
              <w:rPr>
                <w:rFonts w:ascii="Arial" w:hAnsi="Arial"/>
                <w:sz w:val="18"/>
                <w:szCs w:val="18"/>
              </w:rPr>
              <w:t>-</w:t>
            </w:r>
            <w:r w:rsidR="00052104">
              <w:rPr>
                <w:rFonts w:ascii="Arial" w:hAnsi="Arial"/>
                <w:sz w:val="18"/>
                <w:szCs w:val="18"/>
              </w:rPr>
              <w:t>18</w:t>
            </w:r>
            <w:r>
              <w:rPr>
                <w:rFonts w:ascii="Arial" w:hAnsi="Arial"/>
                <w:sz w:val="18"/>
                <w:szCs w:val="18"/>
              </w:rPr>
              <w:t>-19</w:t>
            </w:r>
          </w:p>
        </w:tc>
        <w:tc>
          <w:tcPr>
            <w:tcW w:w="2250" w:type="dxa"/>
            <w:tcBorders>
              <w:top w:val="single" w:sz="5" w:space="0" w:color="000000"/>
              <w:left w:val="single" w:sz="5" w:space="0" w:color="000000"/>
              <w:bottom w:val="single" w:sz="5" w:space="0" w:color="000000"/>
              <w:right w:val="single" w:sz="5" w:space="0" w:color="000000"/>
            </w:tcBorders>
          </w:tcPr>
          <w:p w14:paraId="7B3C6EAA" w14:textId="77777777" w:rsidR="00FE4FF1" w:rsidRPr="00BA349D" w:rsidRDefault="00FE4FF1" w:rsidP="00FE4FF1">
            <w:pPr>
              <w:spacing w:before="84" w:after="42"/>
              <w:rPr>
                <w:rFonts w:ascii="Arial" w:hAnsi="Arial"/>
                <w:sz w:val="18"/>
                <w:szCs w:val="18"/>
              </w:rPr>
            </w:pPr>
          </w:p>
        </w:tc>
      </w:tr>
    </w:tbl>
    <w:p w14:paraId="7B3C6EAC" w14:textId="77777777" w:rsidR="00647E3C" w:rsidRDefault="00647E3C" w:rsidP="002D5611">
      <w:pPr>
        <w:suppressLineNumbers/>
        <w:rPr>
          <w:rFonts w:ascii="Arial" w:hAnsi="Arial"/>
        </w:rPr>
      </w:pPr>
    </w:p>
    <w:p w14:paraId="7B3C6EAD" w14:textId="77777777" w:rsidR="00647E3C" w:rsidRDefault="00647E3C" w:rsidP="002D5611">
      <w:pPr>
        <w:suppressLineNumbers/>
        <w:rPr>
          <w:rFonts w:ascii="Arial" w:hAnsi="Arial"/>
          <w:sz w:val="22"/>
        </w:rPr>
      </w:pPr>
      <w:r>
        <w:rPr>
          <w:rFonts w:ascii="Arial" w:hAnsi="Arial"/>
          <w:b/>
          <w:sz w:val="22"/>
        </w:rPr>
        <w:t>Does this O/R create or abolish any positions or involve other Human Resources issues in your department?</w:t>
      </w:r>
    </w:p>
    <w:p w14:paraId="7B3C6EAE" w14:textId="0AD9C403" w:rsidR="00647E3C" w:rsidRDefault="00647E3C" w:rsidP="002D5611">
      <w:pPr>
        <w:suppressLineNumbers/>
        <w:rPr>
          <w:rFonts w:ascii="Arial" w:hAnsi="Arial"/>
          <w:sz w:val="22"/>
        </w:rPr>
      </w:pPr>
      <w:r>
        <w:rPr>
          <w:rFonts w:ascii="Arial" w:hAnsi="Arial"/>
          <w:sz w:val="22"/>
        </w:rPr>
        <w:tab/>
      </w:r>
      <w:r>
        <w:rPr>
          <w:rFonts w:ascii="Arial" w:hAnsi="Arial"/>
          <w:sz w:val="22"/>
        </w:rPr>
        <w:tab/>
      </w:r>
      <w:r>
        <w:rPr>
          <w:rFonts w:ascii="Arial" w:hAnsi="Arial"/>
          <w:sz w:val="22"/>
          <w:u w:val="single"/>
        </w:rPr>
        <w:t xml:space="preserve">               </w:t>
      </w:r>
      <w:r>
        <w:rPr>
          <w:rFonts w:ascii="Arial" w:hAnsi="Arial"/>
          <w:sz w:val="22"/>
        </w:rPr>
        <w:t xml:space="preserve"> Yes*</w:t>
      </w:r>
      <w:r>
        <w:rPr>
          <w:rFonts w:ascii="Arial" w:hAnsi="Arial"/>
          <w:sz w:val="22"/>
        </w:rPr>
        <w:tab/>
      </w:r>
      <w:r>
        <w:rPr>
          <w:rFonts w:ascii="Arial" w:hAnsi="Arial"/>
          <w:sz w:val="22"/>
        </w:rPr>
        <w:tab/>
      </w:r>
      <w:r>
        <w:rPr>
          <w:rFonts w:ascii="Arial" w:hAnsi="Arial"/>
          <w:sz w:val="22"/>
          <w:u w:val="single"/>
        </w:rPr>
        <w:t xml:space="preserve">      </w:t>
      </w:r>
      <w:r w:rsidR="00C1346C">
        <w:rPr>
          <w:rFonts w:ascii="Arial" w:hAnsi="Arial"/>
          <w:sz w:val="22"/>
          <w:u w:val="single"/>
        </w:rPr>
        <w:t xml:space="preserve"> </w:t>
      </w:r>
      <w:r w:rsidR="00FE4FF1">
        <w:rPr>
          <w:rFonts w:ascii="Arial" w:hAnsi="Arial"/>
          <w:sz w:val="22"/>
          <w:u w:val="single"/>
        </w:rPr>
        <w:t>X</w:t>
      </w:r>
      <w:r>
        <w:rPr>
          <w:rFonts w:ascii="Arial" w:hAnsi="Arial"/>
          <w:sz w:val="22"/>
          <w:u w:val="single"/>
        </w:rPr>
        <w:t xml:space="preserve">    </w:t>
      </w:r>
      <w:r>
        <w:rPr>
          <w:rFonts w:ascii="Arial" w:hAnsi="Arial"/>
          <w:sz w:val="22"/>
        </w:rPr>
        <w:t xml:space="preserve"> No</w:t>
      </w:r>
    </w:p>
    <w:p w14:paraId="7B3C6EAF"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18"/>
        </w:rPr>
        <w:t>* If yes, the ordinance should be reviewed by HR prior to submission to Corp. Counsel</w:t>
      </w:r>
      <w:r>
        <w:rPr>
          <w:rFonts w:ascii="Arial" w:hAnsi="Arial"/>
          <w:sz w:val="22"/>
        </w:rPr>
        <w:t>.</w:t>
      </w:r>
    </w:p>
    <w:p w14:paraId="7B3C6EB0"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B3C6EB1"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r>
        <w:rPr>
          <w:rFonts w:ascii="Arial" w:hAnsi="Arial"/>
          <w:b/>
          <w:sz w:val="22"/>
        </w:rPr>
        <w:t xml:space="preserve">Does this O/R appropriate or transfer expenditure authority, additional resources or change the Budget intent? </w:t>
      </w:r>
    </w:p>
    <w:p w14:paraId="7B3C6EB2"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p>
    <w:p w14:paraId="7B3C6EB3" w14:textId="3D00359A"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r>
      <w:r>
        <w:rPr>
          <w:rFonts w:ascii="Arial" w:hAnsi="Arial"/>
          <w:sz w:val="22"/>
          <w:u w:val="single"/>
        </w:rPr>
        <w:t xml:space="preserve">       </w:t>
      </w:r>
      <w:r w:rsidR="00C1346C">
        <w:rPr>
          <w:rFonts w:ascii="Arial" w:hAnsi="Arial"/>
          <w:sz w:val="22"/>
          <w:u w:val="single"/>
        </w:rPr>
        <w:t xml:space="preserve"> </w:t>
      </w:r>
      <w:r>
        <w:rPr>
          <w:rFonts w:ascii="Arial" w:hAnsi="Arial"/>
          <w:sz w:val="22"/>
          <w:u w:val="single"/>
        </w:rPr>
        <w:t xml:space="preserve">        </w:t>
      </w:r>
      <w:r>
        <w:rPr>
          <w:rFonts w:ascii="Arial" w:hAnsi="Arial"/>
          <w:sz w:val="22"/>
        </w:rPr>
        <w:t>Yes*</w:t>
      </w:r>
      <w:r>
        <w:rPr>
          <w:rFonts w:ascii="Arial" w:hAnsi="Arial"/>
          <w:sz w:val="22"/>
        </w:rPr>
        <w:tab/>
      </w:r>
      <w:r>
        <w:rPr>
          <w:rFonts w:ascii="Arial" w:hAnsi="Arial"/>
          <w:sz w:val="22"/>
        </w:rPr>
        <w:tab/>
      </w:r>
      <w:r>
        <w:rPr>
          <w:rFonts w:ascii="Arial" w:hAnsi="Arial"/>
          <w:sz w:val="22"/>
          <w:u w:val="single"/>
        </w:rPr>
        <w:t xml:space="preserve">  </w:t>
      </w:r>
      <w:r w:rsidR="006E3006">
        <w:rPr>
          <w:rFonts w:ascii="Arial" w:hAnsi="Arial"/>
          <w:sz w:val="22"/>
          <w:u w:val="single"/>
        </w:rPr>
        <w:t xml:space="preserve">  </w:t>
      </w:r>
      <w:r w:rsidR="00FE4FF1">
        <w:rPr>
          <w:rFonts w:ascii="Arial" w:hAnsi="Arial"/>
          <w:sz w:val="22"/>
          <w:u w:val="single"/>
        </w:rPr>
        <w:t xml:space="preserve">  X</w:t>
      </w:r>
      <w:r w:rsidR="006E3006">
        <w:rPr>
          <w:rFonts w:ascii="Arial" w:hAnsi="Arial"/>
          <w:sz w:val="22"/>
          <w:u w:val="single"/>
        </w:rPr>
        <w:t xml:space="preserve"> </w:t>
      </w:r>
      <w:r>
        <w:rPr>
          <w:rFonts w:ascii="Arial" w:hAnsi="Arial"/>
          <w:sz w:val="22"/>
          <w:u w:val="single"/>
        </w:rPr>
        <w:t xml:space="preserve">      </w:t>
      </w:r>
      <w:r>
        <w:rPr>
          <w:rFonts w:ascii="Arial" w:hAnsi="Arial"/>
          <w:sz w:val="22"/>
        </w:rPr>
        <w:t>No</w:t>
      </w:r>
    </w:p>
    <w:p w14:paraId="7B3C6EB4"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*If department staff developed a fiscal impact statement, please send to your assigned budget analyst concurrent with forwarding of O/R to Corp. Counsel.</w:t>
      </w:r>
    </w:p>
    <w:p w14:paraId="7B3C6EB5"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B3C6EB6"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r>
        <w:rPr>
          <w:rFonts w:ascii="Arial" w:hAnsi="Arial"/>
          <w:b/>
          <w:sz w:val="22"/>
        </w:rPr>
        <w:t>Does this O/R authorize the execution of any new or extended contracts/leases/MOUs or other agreements that obligate the County?</w:t>
      </w:r>
    </w:p>
    <w:p w14:paraId="7B3C6EB7"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p>
    <w:p w14:paraId="7B3C6EB8" w14:textId="4C1530F5"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r>
        <w:rPr>
          <w:rFonts w:ascii="Arial" w:hAnsi="Arial"/>
          <w:sz w:val="22"/>
        </w:rPr>
        <w:tab/>
      </w:r>
      <w:r>
        <w:rPr>
          <w:rFonts w:ascii="Arial" w:hAnsi="Arial"/>
          <w:sz w:val="22"/>
        </w:rPr>
        <w:tab/>
      </w:r>
      <w:r>
        <w:rPr>
          <w:rFonts w:ascii="Arial" w:hAnsi="Arial"/>
          <w:sz w:val="22"/>
          <w:u w:val="single"/>
        </w:rPr>
        <w:t xml:space="preserve">         </w:t>
      </w:r>
      <w:r w:rsidR="00FE4FF1">
        <w:rPr>
          <w:rFonts w:ascii="Arial" w:hAnsi="Arial"/>
          <w:sz w:val="22"/>
          <w:u w:val="single"/>
        </w:rPr>
        <w:t>X</w:t>
      </w:r>
      <w:r>
        <w:rPr>
          <w:rFonts w:ascii="Arial" w:hAnsi="Arial"/>
          <w:sz w:val="22"/>
          <w:u w:val="single"/>
        </w:rPr>
        <w:t xml:space="preserve">       </w:t>
      </w:r>
      <w:r>
        <w:rPr>
          <w:rFonts w:ascii="Arial" w:hAnsi="Arial"/>
          <w:sz w:val="22"/>
        </w:rPr>
        <w:t>Yes*</w:t>
      </w:r>
      <w:r>
        <w:rPr>
          <w:rFonts w:ascii="Arial" w:hAnsi="Arial"/>
          <w:sz w:val="22"/>
        </w:rPr>
        <w:tab/>
      </w:r>
      <w:r>
        <w:rPr>
          <w:rFonts w:ascii="Arial" w:hAnsi="Arial"/>
          <w:sz w:val="22"/>
        </w:rPr>
        <w:tab/>
      </w:r>
      <w:r>
        <w:rPr>
          <w:rFonts w:ascii="Arial" w:hAnsi="Arial"/>
          <w:sz w:val="22"/>
          <w:u w:val="single"/>
        </w:rPr>
        <w:t xml:space="preserve">       </w:t>
      </w:r>
      <w:r w:rsidR="00C1346C">
        <w:rPr>
          <w:rFonts w:ascii="Arial" w:hAnsi="Arial"/>
          <w:sz w:val="22"/>
          <w:u w:val="single"/>
        </w:rPr>
        <w:t xml:space="preserve"> </w:t>
      </w:r>
      <w:r>
        <w:rPr>
          <w:rFonts w:ascii="Arial" w:hAnsi="Arial"/>
          <w:sz w:val="22"/>
          <w:u w:val="single"/>
        </w:rPr>
        <w:t xml:space="preserve">     </w:t>
      </w:r>
      <w:r>
        <w:rPr>
          <w:rFonts w:ascii="Arial" w:hAnsi="Arial"/>
          <w:sz w:val="22"/>
        </w:rPr>
        <w:t xml:space="preserve"> No</w:t>
      </w:r>
    </w:p>
    <w:p w14:paraId="7B3C6EB9"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b/>
          <w:sz w:val="18"/>
        </w:rPr>
        <w:t>*</w:t>
      </w:r>
      <w:r>
        <w:rPr>
          <w:rFonts w:ascii="Arial" w:hAnsi="Arial"/>
          <w:sz w:val="18"/>
        </w:rPr>
        <w:t>If yes, the proposed documents must be forwarded to risk management and Corp. Counsel for approval.  The O/R will not be forwarded to the Co. Board until related agreements receive approval.  Departments are responsible for putting approved documents on file with the Co. Clerk.</w:t>
      </w:r>
    </w:p>
    <w:p w14:paraId="7B3C6EBA"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B3C6EBB"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2"/>
        </w:rPr>
      </w:pPr>
      <w:r>
        <w:rPr>
          <w:rFonts w:ascii="Arial" w:hAnsi="Arial"/>
          <w:b/>
          <w:sz w:val="22"/>
        </w:rPr>
        <w:t>Are there documents (other than contracts, leases or MOUs) that should be included with this O/R before it goes to the County Board office?</w:t>
      </w:r>
    </w:p>
    <w:p w14:paraId="7B3C6EBC"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p>
    <w:p w14:paraId="7B3C6EBD" w14:textId="1E8E52A5"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r>
        <w:rPr>
          <w:rFonts w:ascii="Arial" w:hAnsi="Arial"/>
          <w:sz w:val="22"/>
        </w:rPr>
        <w:tab/>
      </w:r>
      <w:r>
        <w:rPr>
          <w:rFonts w:ascii="Arial" w:hAnsi="Arial"/>
          <w:sz w:val="22"/>
        </w:rPr>
        <w:tab/>
      </w:r>
      <w:r>
        <w:rPr>
          <w:rFonts w:ascii="Arial" w:hAnsi="Arial"/>
          <w:sz w:val="22"/>
          <w:u w:val="single"/>
        </w:rPr>
        <w:t xml:space="preserve">        </w:t>
      </w:r>
      <w:r w:rsidR="00EB70A7">
        <w:rPr>
          <w:rFonts w:ascii="Arial" w:hAnsi="Arial"/>
          <w:sz w:val="22"/>
          <w:u w:val="single"/>
        </w:rPr>
        <w:t>X</w:t>
      </w:r>
      <w:r>
        <w:rPr>
          <w:rFonts w:ascii="Arial" w:hAnsi="Arial"/>
          <w:sz w:val="22"/>
          <w:u w:val="single"/>
        </w:rPr>
        <w:t xml:space="preserve">       </w:t>
      </w:r>
      <w:r>
        <w:rPr>
          <w:rFonts w:ascii="Arial" w:hAnsi="Arial"/>
          <w:sz w:val="22"/>
        </w:rPr>
        <w:t>Yes*</w:t>
      </w:r>
      <w:r>
        <w:rPr>
          <w:rFonts w:ascii="Arial" w:hAnsi="Arial"/>
          <w:sz w:val="22"/>
        </w:rPr>
        <w:tab/>
      </w:r>
      <w:r w:rsidR="00456187">
        <w:rPr>
          <w:rFonts w:ascii="Arial" w:hAnsi="Arial"/>
          <w:sz w:val="22"/>
        </w:rPr>
        <w:tab/>
      </w:r>
      <w:r>
        <w:rPr>
          <w:rFonts w:ascii="Arial" w:hAnsi="Arial"/>
          <w:sz w:val="22"/>
        </w:rPr>
        <w:tab/>
      </w:r>
      <w:r>
        <w:rPr>
          <w:rFonts w:ascii="Arial" w:hAnsi="Arial"/>
          <w:sz w:val="22"/>
          <w:u w:val="single"/>
        </w:rPr>
        <w:t xml:space="preserve">       </w:t>
      </w:r>
      <w:r w:rsidR="00C1346C">
        <w:rPr>
          <w:rFonts w:ascii="Arial" w:hAnsi="Arial"/>
          <w:sz w:val="22"/>
          <w:u w:val="single"/>
        </w:rPr>
        <w:t xml:space="preserve"> </w:t>
      </w:r>
      <w:r>
        <w:rPr>
          <w:rFonts w:ascii="Arial" w:hAnsi="Arial"/>
          <w:sz w:val="22"/>
          <w:u w:val="single"/>
        </w:rPr>
        <w:t xml:space="preserve">    </w:t>
      </w:r>
      <w:r>
        <w:rPr>
          <w:rFonts w:ascii="Arial" w:hAnsi="Arial"/>
          <w:sz w:val="22"/>
        </w:rPr>
        <w:t xml:space="preserve"> No</w:t>
      </w:r>
    </w:p>
    <w:p w14:paraId="7B3C6EBE"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If yes, all documents must be received by Corp. Counsel before the ordinance can be forwarded to DOA for review.  Contracts or leases that are affected by or are the subject of an O/R must be provided to Corp. Counsel.</w:t>
      </w:r>
    </w:p>
    <w:p w14:paraId="7B3C6EBF" w14:textId="77777777" w:rsidR="00647E3C" w:rsidRDefault="00647E3C" w:rsidP="002D561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p w14:paraId="043DD0FA" w14:textId="336A86BC" w:rsidR="00FE4FF1" w:rsidRDefault="00C52C60" w:rsidP="00FE4FF1">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2"/>
        </w:rPr>
      </w:pPr>
      <w:hyperlink r:id="rId14" w:history="1">
        <w:r w:rsidR="00647E3C">
          <w:rPr>
            <w:rStyle w:val="WPHyperlink"/>
            <w:rFonts w:ascii="Arial" w:hAnsi="Arial"/>
            <w:sz w:val="22"/>
          </w:rPr>
          <w:t>Sec. 59.14(1m)</w:t>
        </w:r>
      </w:hyperlink>
      <w:r w:rsidR="005C27C1">
        <w:rPr>
          <w:rFonts w:ascii="Arial" w:hAnsi="Arial"/>
          <w:color w:val="0000FF"/>
          <w:sz w:val="22"/>
        </w:rPr>
        <w:t xml:space="preserve">, Wis. Stats. </w:t>
      </w:r>
      <w:r w:rsidR="00647E3C">
        <w:rPr>
          <w:rFonts w:ascii="Arial" w:hAnsi="Arial"/>
          <w:sz w:val="22"/>
        </w:rPr>
        <w:t xml:space="preserve"> Summary (for publication purposes):</w:t>
      </w:r>
      <w:r w:rsidR="005C27C1">
        <w:rPr>
          <w:rFonts w:ascii="Arial" w:hAnsi="Arial"/>
          <w:sz w:val="22"/>
        </w:rPr>
        <w:t xml:space="preserve"> </w:t>
      </w:r>
      <w:r w:rsidR="00FE4FF1">
        <w:rPr>
          <w:rFonts w:ascii="Arial" w:hAnsi="Arial"/>
          <w:sz w:val="22"/>
        </w:rPr>
        <w:t>This Ordinance approves an amendment extending the Residential Use Agreement with JoAnne M. Millpointer for property located within Nashotah Park.</w:t>
      </w:r>
    </w:p>
    <w:p w14:paraId="7B3C6EC1" w14:textId="77777777" w:rsidR="00E2594E" w:rsidRDefault="00E2594E" w:rsidP="00E2594E">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B3C6EC2" w14:textId="77777777" w:rsidR="00D9484C" w:rsidRDefault="00D9484C" w:rsidP="00D9484C">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bookmarkStart w:id="0" w:name="_GoBack"/>
      <w:bookmarkEnd w:id="0"/>
    </w:p>
    <w:p w14:paraId="23913117" w14:textId="25BE6E23" w:rsidR="00C52C60" w:rsidRDefault="00C52C60" w:rsidP="00FE4F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Pr>
          <w:szCs w:val="24"/>
        </w:rPr>
        <w:t>ENROLLED ORDINANCE 173-101</w:t>
      </w:r>
    </w:p>
    <w:p w14:paraId="3A7B99AC" w14:textId="77777777" w:rsidR="00C52C60" w:rsidRDefault="00C52C60" w:rsidP="00FE4F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p w14:paraId="518B81C1" w14:textId="343398D9" w:rsidR="008F3F42" w:rsidRDefault="00FE4FF1" w:rsidP="00FE4F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Pr>
          <w:szCs w:val="24"/>
        </w:rPr>
        <w:t>APPROVE SECOND AMENDMENT TO MILLPOINTER</w:t>
      </w:r>
    </w:p>
    <w:p w14:paraId="3AA0E2A8" w14:textId="755D1C98" w:rsidR="00FE4FF1" w:rsidRPr="00FD5FAC" w:rsidRDefault="00FE4FF1" w:rsidP="00FE4F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Pr>
          <w:szCs w:val="24"/>
        </w:rPr>
        <w:t>PROPERTY</w:t>
      </w:r>
      <w:r w:rsidR="008F3F42">
        <w:rPr>
          <w:szCs w:val="24"/>
        </w:rPr>
        <w:t xml:space="preserve"> </w:t>
      </w:r>
      <w:r>
        <w:rPr>
          <w:szCs w:val="24"/>
        </w:rPr>
        <w:t xml:space="preserve">RESIDENTIAL USE AGREEMENT </w:t>
      </w:r>
    </w:p>
    <w:p w14:paraId="3AEFE69F" w14:textId="717A0976" w:rsidR="008F3F42" w:rsidRDefault="008F3F42" w:rsidP="001F4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p w14:paraId="71C9E348" w14:textId="77777777" w:rsidR="00C52C60" w:rsidRPr="001F4F12" w:rsidRDefault="00C52C60" w:rsidP="001F4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p w14:paraId="7B3C6EC9" w14:textId="5C504AC4" w:rsidR="006E3006" w:rsidRDefault="00FD5FAC" w:rsidP="00FD5F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FD5FAC">
        <w:rPr>
          <w:szCs w:val="24"/>
        </w:rPr>
        <w:t xml:space="preserve">WHEREAS, </w:t>
      </w:r>
      <w:r w:rsidR="00FE4FF1">
        <w:rPr>
          <w:szCs w:val="24"/>
        </w:rPr>
        <w:t xml:space="preserve">consistent with the Waukesha County Park and Open Space Plan, the County Board adopted Enrolled Ordinances 167-19 and 168-61 to acquire the Joanne M. Millpointer Revocable Trust property located in the Village of Nashotah, </w:t>
      </w:r>
      <w:r w:rsidR="00FE4FF1" w:rsidRPr="007C006D">
        <w:rPr>
          <w:szCs w:val="24"/>
        </w:rPr>
        <w:t>commonly referred to as N45 W33206 Wisconsin Avenue (Tax Key No. NSHV 0741.998)</w:t>
      </w:r>
      <w:r w:rsidR="00FE4FF1">
        <w:rPr>
          <w:szCs w:val="24"/>
        </w:rPr>
        <w:t xml:space="preserve"> to become part of Nashotah Park</w:t>
      </w:r>
      <w:r w:rsidR="00774020">
        <w:rPr>
          <w:szCs w:val="24"/>
        </w:rPr>
        <w:t>;</w:t>
      </w:r>
      <w:r w:rsidR="00FE4FF1">
        <w:rPr>
          <w:szCs w:val="24"/>
        </w:rPr>
        <w:t xml:space="preserve"> and</w:t>
      </w:r>
    </w:p>
    <w:p w14:paraId="7B3C6ECA" w14:textId="77777777" w:rsidR="006E3006" w:rsidRDefault="006E3006" w:rsidP="00FD5F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B3C6ECB" w14:textId="165D5753" w:rsidR="006E3006" w:rsidRDefault="00FD5FAC" w:rsidP="00FE4F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FD5FAC">
        <w:rPr>
          <w:szCs w:val="24"/>
        </w:rPr>
        <w:t xml:space="preserve">WHEREAS, </w:t>
      </w:r>
      <w:r w:rsidR="00FE4FF1">
        <w:rPr>
          <w:szCs w:val="24"/>
        </w:rPr>
        <w:t xml:space="preserve">through a Residential Use Agreement, Joanne Millpointer was given the ability to live in the house on the property for a maximum of five years, with an expiration date </w:t>
      </w:r>
      <w:r w:rsidR="00FE4FF1" w:rsidRPr="00852AB9">
        <w:rPr>
          <w:szCs w:val="24"/>
        </w:rPr>
        <w:t>on December 20, 2018</w:t>
      </w:r>
      <w:r w:rsidR="00FE4FF1">
        <w:rPr>
          <w:szCs w:val="24"/>
        </w:rPr>
        <w:t>; and</w:t>
      </w:r>
    </w:p>
    <w:p w14:paraId="7B3C6ECC" w14:textId="77777777" w:rsidR="006E3006" w:rsidRDefault="006E3006" w:rsidP="00FD5F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B3C6ECD" w14:textId="38FC77E2" w:rsidR="00FD5FAC" w:rsidRPr="00FD5FAC" w:rsidRDefault="00FD5FAC" w:rsidP="00FD5F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FD5FAC">
        <w:rPr>
          <w:szCs w:val="24"/>
        </w:rPr>
        <w:t xml:space="preserve">WHEREAS, </w:t>
      </w:r>
      <w:r w:rsidR="00FE4FF1">
        <w:rPr>
          <w:szCs w:val="24"/>
        </w:rPr>
        <w:t xml:space="preserve">to assist in living arrangement transition for Joanne Millpointer, the County adopted Enrolled Ordinance 173-029 to extend the term of the Residential Use Agreement until April 1, 2019; and  </w:t>
      </w:r>
    </w:p>
    <w:p w14:paraId="7B3C6ECE" w14:textId="77777777" w:rsidR="00FD5FAC" w:rsidRPr="00FD5FAC" w:rsidRDefault="00FD5FAC" w:rsidP="00FD5F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B3C6ECF" w14:textId="42F8F785" w:rsidR="00FD5FAC" w:rsidRDefault="00FD5FAC" w:rsidP="00FE4F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FD5FAC">
        <w:rPr>
          <w:szCs w:val="24"/>
        </w:rPr>
        <w:t>WHEREAS,</w:t>
      </w:r>
      <w:r w:rsidR="00C1346C">
        <w:rPr>
          <w:szCs w:val="24"/>
        </w:rPr>
        <w:t xml:space="preserve"> </w:t>
      </w:r>
      <w:r w:rsidR="00FE4FF1">
        <w:rPr>
          <w:szCs w:val="24"/>
        </w:rPr>
        <w:t>to satisfy the additional time requested to complete the living arrangement transition for Joanne Millpointer, the County agrees to extend the term of the Residential Use Agreemen</w:t>
      </w:r>
      <w:r w:rsidR="00CD2853">
        <w:rPr>
          <w:szCs w:val="24"/>
        </w:rPr>
        <w:t>t until June 30, 2019</w:t>
      </w:r>
      <w:r w:rsidR="00FE4FF1">
        <w:rPr>
          <w:szCs w:val="24"/>
        </w:rPr>
        <w:t>; and</w:t>
      </w:r>
    </w:p>
    <w:p w14:paraId="2F90486C" w14:textId="17B08FC7" w:rsidR="00FE4FF1" w:rsidRDefault="00FE4FF1" w:rsidP="00FE4F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8559AA9" w14:textId="77777777" w:rsidR="00FE4FF1" w:rsidRPr="00FD5FAC" w:rsidRDefault="00FE4FF1" w:rsidP="00FE4F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WHEREAS, an amendment to the Residential Use Agreement is necessary to effectuate this extension.</w:t>
      </w:r>
    </w:p>
    <w:p w14:paraId="7B3C6ED0" w14:textId="77777777" w:rsidR="00FD5FAC" w:rsidRPr="00FD5FAC" w:rsidRDefault="00FD5FAC" w:rsidP="00FD5F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B3C6ED1" w14:textId="77777777" w:rsidR="0044438E" w:rsidRDefault="00FD5FAC" w:rsidP="00444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FD5FAC">
        <w:rPr>
          <w:szCs w:val="24"/>
        </w:rPr>
        <w:t xml:space="preserve">THE COUNTY BOARD OF SUPERVISORS OF THE COUNTY OF WAUKESHA ORDAINS </w:t>
      </w:r>
    </w:p>
    <w:p w14:paraId="7B3C6ED2" w14:textId="2CC1B481" w:rsidR="00F63981" w:rsidRDefault="00FE4FF1" w:rsidP="00444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that the Second Amendment to Residential Use Agreement, on file with the Waukesha County Department of Parks and Land Use, extending the termination date of the Residential Use Agreement to June 30, 2019 is hereby approved.</w:t>
      </w:r>
    </w:p>
    <w:p w14:paraId="1E368B96" w14:textId="77777777" w:rsidR="00FE4FF1" w:rsidRDefault="00FE4FF1" w:rsidP="00444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B3C6ED3" w14:textId="5A6D302E" w:rsidR="00F63981" w:rsidRDefault="00F63981" w:rsidP="004443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BE IT FURTHER ORDAINED</w:t>
      </w:r>
      <w:r w:rsidR="00FE4FF1">
        <w:rPr>
          <w:szCs w:val="24"/>
        </w:rPr>
        <w:t xml:space="preserve"> </w:t>
      </w:r>
      <w:r w:rsidR="00A5166C" w:rsidRPr="00A5166C">
        <w:rPr>
          <w:szCs w:val="24"/>
        </w:rPr>
        <w:t>that Director of the Waukesha County Department of Parks and Land Use, or his designee, in his discretion, is further authorized to execute any subsequent amendment to the Residential Use Agreement deemed</w:t>
      </w:r>
      <w:r w:rsidR="00A5166C">
        <w:rPr>
          <w:szCs w:val="24"/>
        </w:rPr>
        <w:t xml:space="preserve"> reasonable</w:t>
      </w:r>
      <w:r w:rsidR="00D66F2A">
        <w:rPr>
          <w:szCs w:val="24"/>
        </w:rPr>
        <w:t>,</w:t>
      </w:r>
      <w:r w:rsidR="00A5166C" w:rsidRPr="00A5166C">
        <w:rPr>
          <w:szCs w:val="24"/>
        </w:rPr>
        <w:t xml:space="preserve"> appropriate and necessary that extends the term of the Residential Use Agreement beyond June 30, 2019.</w:t>
      </w:r>
    </w:p>
    <w:p w14:paraId="7B3C6ED5" w14:textId="48120A61" w:rsidR="001F4F12" w:rsidRPr="001F4F12" w:rsidRDefault="001F4F12" w:rsidP="001F4F12">
      <w:pPr>
        <w:suppressLineNumber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sectPr w:rsidR="001F4F12" w:rsidRPr="001F4F12" w:rsidSect="00C52C60">
      <w:footerReference w:type="default" r:id="rId15"/>
      <w:pgSz w:w="12240" w:h="15840" w:code="1"/>
      <w:pgMar w:top="1440" w:right="1440" w:bottom="288" w:left="1440" w:header="36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C6ED8" w14:textId="77777777" w:rsidR="00414117" w:rsidRDefault="00414117" w:rsidP="00D014E3">
      <w:r>
        <w:separator/>
      </w:r>
    </w:p>
  </w:endnote>
  <w:endnote w:type="continuationSeparator" w:id="0">
    <w:p w14:paraId="7B3C6ED9" w14:textId="77777777" w:rsidR="00414117" w:rsidRDefault="00414117" w:rsidP="00D0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CCE1D" w14:textId="4DE2B1C1" w:rsidR="00C52C60" w:rsidRDefault="00C52C60">
    <w:pPr>
      <w:pStyle w:val="Footer"/>
    </w:pPr>
  </w:p>
  <w:p w14:paraId="70324F7C" w14:textId="577951D4" w:rsidR="00C52C60" w:rsidRDefault="00C52C60" w:rsidP="00C52C60">
    <w:pPr>
      <w:pStyle w:val="Footer"/>
      <w:jc w:val="center"/>
    </w:pPr>
    <w:r>
      <w:t>File Number 173-O-101</w:t>
    </w:r>
  </w:p>
  <w:p w14:paraId="42C6C3F7" w14:textId="65035243" w:rsidR="00C52C60" w:rsidRDefault="00C52C60" w:rsidP="00C52C60">
    <w:pPr>
      <w:pStyle w:val="Footer"/>
      <w:jc w:val="center"/>
    </w:pPr>
  </w:p>
  <w:p w14:paraId="7B3C6EE0" w14:textId="77777777" w:rsidR="00D014E3" w:rsidRDefault="00D01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C6ED6" w14:textId="77777777" w:rsidR="00414117" w:rsidRDefault="00414117" w:rsidP="00D014E3">
      <w:r>
        <w:separator/>
      </w:r>
    </w:p>
  </w:footnote>
  <w:footnote w:type="continuationSeparator" w:id="0">
    <w:p w14:paraId="7B3C6ED7" w14:textId="77777777" w:rsidR="00414117" w:rsidRDefault="00414117" w:rsidP="00D01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21DEC"/>
    <w:multiLevelType w:val="hybridMultilevel"/>
    <w:tmpl w:val="1286F2DC"/>
    <w:lvl w:ilvl="0" w:tplc="7C94C84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49D"/>
    <w:rsid w:val="0003083C"/>
    <w:rsid w:val="0004437A"/>
    <w:rsid w:val="00052104"/>
    <w:rsid w:val="00087A10"/>
    <w:rsid w:val="00107DA5"/>
    <w:rsid w:val="00130014"/>
    <w:rsid w:val="0017601D"/>
    <w:rsid w:val="001B00CE"/>
    <w:rsid w:val="001D543F"/>
    <w:rsid w:val="001E3C53"/>
    <w:rsid w:val="001F4F12"/>
    <w:rsid w:val="00210DFE"/>
    <w:rsid w:val="002D5611"/>
    <w:rsid w:val="0032541F"/>
    <w:rsid w:val="00336E33"/>
    <w:rsid w:val="003C694B"/>
    <w:rsid w:val="0040546B"/>
    <w:rsid w:val="00414117"/>
    <w:rsid w:val="0044438E"/>
    <w:rsid w:val="004467EF"/>
    <w:rsid w:val="00456187"/>
    <w:rsid w:val="0047524F"/>
    <w:rsid w:val="00494C94"/>
    <w:rsid w:val="004C3D8B"/>
    <w:rsid w:val="004E4EE8"/>
    <w:rsid w:val="00511735"/>
    <w:rsid w:val="00537DA1"/>
    <w:rsid w:val="005C27C1"/>
    <w:rsid w:val="00601135"/>
    <w:rsid w:val="00647E3C"/>
    <w:rsid w:val="006E3006"/>
    <w:rsid w:val="00701601"/>
    <w:rsid w:val="007208F9"/>
    <w:rsid w:val="00727CF4"/>
    <w:rsid w:val="0075072A"/>
    <w:rsid w:val="00774020"/>
    <w:rsid w:val="007A7A43"/>
    <w:rsid w:val="007D7FB8"/>
    <w:rsid w:val="00802008"/>
    <w:rsid w:val="00862662"/>
    <w:rsid w:val="008A0C17"/>
    <w:rsid w:val="008A504F"/>
    <w:rsid w:val="008D37CB"/>
    <w:rsid w:val="008F3F42"/>
    <w:rsid w:val="00905592"/>
    <w:rsid w:val="00925B99"/>
    <w:rsid w:val="00942763"/>
    <w:rsid w:val="00A031ED"/>
    <w:rsid w:val="00A03C3E"/>
    <w:rsid w:val="00A173DD"/>
    <w:rsid w:val="00A5166C"/>
    <w:rsid w:val="00A561A4"/>
    <w:rsid w:val="00AF619F"/>
    <w:rsid w:val="00BA349D"/>
    <w:rsid w:val="00C1346C"/>
    <w:rsid w:val="00C52C60"/>
    <w:rsid w:val="00C61C10"/>
    <w:rsid w:val="00C77643"/>
    <w:rsid w:val="00CD2853"/>
    <w:rsid w:val="00D014E3"/>
    <w:rsid w:val="00D66F2A"/>
    <w:rsid w:val="00D71697"/>
    <w:rsid w:val="00D9484C"/>
    <w:rsid w:val="00E2594E"/>
    <w:rsid w:val="00EB70A7"/>
    <w:rsid w:val="00F60B17"/>
    <w:rsid w:val="00F634D9"/>
    <w:rsid w:val="00F63981"/>
    <w:rsid w:val="00FA4C4B"/>
    <w:rsid w:val="00FB4B15"/>
    <w:rsid w:val="00FD5FAC"/>
    <w:rsid w:val="00FE4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7B3C6E93"/>
  <w15:chartTrackingRefBased/>
  <w15:docId w15:val="{94839E8B-060C-47E5-B070-C2202A23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D5611"/>
  </w:style>
  <w:style w:type="character" w:customStyle="1" w:styleId="DefaultPara">
    <w:name w:val="Default Para"/>
    <w:rPr>
      <w:sz w:val="20"/>
    </w:rPr>
  </w:style>
  <w:style w:type="character" w:customStyle="1" w:styleId="DefaultPar1">
    <w:name w:val="Default Par1"/>
    <w:rPr>
      <w:sz w:val="20"/>
    </w:rPr>
  </w:style>
  <w:style w:type="character" w:customStyle="1" w:styleId="DefaultPara0">
    <w:name w:val="Default Para"/>
    <w:rPr>
      <w:sz w:val="20"/>
    </w:rPr>
  </w:style>
  <w:style w:type="paragraph" w:customStyle="1" w:styleId="WP9BodyTex">
    <w:name w:val="WP9_Body Tex"/>
    <w:basedOn w:val="Normal"/>
    <w:pPr>
      <w:widowControl w:val="0"/>
    </w:pPr>
    <w:rPr>
      <w:rFonts w:ascii="Arial" w:hAnsi="Arial"/>
      <w:sz w:val="20"/>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WPLineNumber">
    <w:name w:val="WP_Line Number"/>
    <w:basedOn w:val="DefaultParagraphFont"/>
  </w:style>
  <w:style w:type="paragraph" w:customStyle="1" w:styleId="WPHeader">
    <w:name w:val="WP_Header"/>
    <w:basedOn w:val="Normal"/>
    <w:pPr>
      <w:tabs>
        <w:tab w:val="center" w:pos="4680"/>
        <w:tab w:val="right" w:pos="9360"/>
      </w:tabs>
    </w:pPr>
  </w:style>
  <w:style w:type="character" w:customStyle="1" w:styleId="HeaderChar">
    <w:name w:val="Header Char"/>
    <w:rPr>
      <w:sz w:val="24"/>
    </w:rPr>
  </w:style>
  <w:style w:type="paragraph" w:customStyle="1" w:styleId="WPFooter">
    <w:name w:val="WP_Footer"/>
    <w:basedOn w:val="Normal"/>
    <w:pPr>
      <w:tabs>
        <w:tab w:val="center" w:pos="4680"/>
        <w:tab w:val="right" w:pos="9360"/>
      </w:tabs>
    </w:pPr>
  </w:style>
  <w:style w:type="character" w:customStyle="1" w:styleId="FooterChar">
    <w:name w:val="Footer Char"/>
    <w:uiPriority w:val="99"/>
    <w:rPr>
      <w:sz w:val="24"/>
    </w:rPr>
  </w:style>
  <w:style w:type="character" w:customStyle="1" w:styleId="SYSHYPERTEXT">
    <w:name w:val="SYS_HYPERTEXT"/>
    <w:rPr>
      <w:color w:val="0000FF"/>
      <w:u w:val="single"/>
    </w:rPr>
  </w:style>
  <w:style w:type="paragraph" w:styleId="Header">
    <w:name w:val="header"/>
    <w:basedOn w:val="Normal"/>
    <w:link w:val="HeaderChar1"/>
    <w:uiPriority w:val="99"/>
    <w:unhideWhenUsed/>
    <w:rsid w:val="00D014E3"/>
    <w:pPr>
      <w:tabs>
        <w:tab w:val="center" w:pos="4680"/>
        <w:tab w:val="right" w:pos="9360"/>
      </w:tabs>
    </w:pPr>
  </w:style>
  <w:style w:type="character" w:customStyle="1" w:styleId="HeaderChar1">
    <w:name w:val="Header Char1"/>
    <w:link w:val="Header"/>
    <w:uiPriority w:val="99"/>
    <w:rsid w:val="00D014E3"/>
    <w:rPr>
      <w:sz w:val="24"/>
    </w:rPr>
  </w:style>
  <w:style w:type="paragraph" w:styleId="Footer">
    <w:name w:val="footer"/>
    <w:basedOn w:val="Normal"/>
    <w:link w:val="FooterChar1"/>
    <w:uiPriority w:val="99"/>
    <w:unhideWhenUsed/>
    <w:rsid w:val="00D014E3"/>
    <w:pPr>
      <w:tabs>
        <w:tab w:val="center" w:pos="4680"/>
        <w:tab w:val="right" w:pos="9360"/>
      </w:tabs>
    </w:pPr>
  </w:style>
  <w:style w:type="character" w:customStyle="1" w:styleId="FooterChar1">
    <w:name w:val="Footer Char1"/>
    <w:link w:val="Footer"/>
    <w:uiPriority w:val="99"/>
    <w:semiHidden/>
    <w:rsid w:val="00D014E3"/>
    <w:rPr>
      <w:sz w:val="24"/>
    </w:rPr>
  </w:style>
  <w:style w:type="paragraph" w:styleId="BalloonText">
    <w:name w:val="Balloon Text"/>
    <w:basedOn w:val="Normal"/>
    <w:link w:val="BalloonTextChar"/>
    <w:uiPriority w:val="99"/>
    <w:semiHidden/>
    <w:unhideWhenUsed/>
    <w:rsid w:val="00D014E3"/>
    <w:rPr>
      <w:rFonts w:ascii="Tahoma" w:hAnsi="Tahoma" w:cs="Tahoma"/>
      <w:sz w:val="16"/>
      <w:szCs w:val="16"/>
    </w:rPr>
  </w:style>
  <w:style w:type="character" w:customStyle="1" w:styleId="BalloonTextChar">
    <w:name w:val="Balloon Text Char"/>
    <w:link w:val="BalloonText"/>
    <w:uiPriority w:val="99"/>
    <w:semiHidden/>
    <w:rsid w:val="00D014E3"/>
    <w:rPr>
      <w:rFonts w:ascii="Tahoma" w:hAnsi="Tahoma" w:cs="Tahoma"/>
      <w:sz w:val="16"/>
      <w:szCs w:val="16"/>
    </w:rPr>
  </w:style>
  <w:style w:type="table" w:styleId="TableGrid">
    <w:name w:val="Table Grid"/>
    <w:basedOn w:val="TableNormal"/>
    <w:uiPriority w:val="59"/>
    <w:rsid w:val="00D014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918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nxt.legis.state.wi.us/nxt/gateway.dll?f=templates&amp;fn=default.htm&amp;d=stats&amp;jd=59.14(1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8DA"/>
    <w:rsid w:val="00B90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D72C03353F4E3CB5144CC5FF843FBF">
    <w:name w:val="0CD72C03353F4E3CB5144CC5FF843FBF"/>
    <w:rsid w:val="00B908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0933FBAC731642A705DC7E6F641A41" ma:contentTypeVersion="11" ma:contentTypeDescription="Create a new document." ma:contentTypeScope="" ma:versionID="91940cdaa9acada3c8f21e61f586194a">
  <xsd:schema xmlns:xsd="http://www.w3.org/2001/XMLSchema" xmlns:xs="http://www.w3.org/2001/XMLSchema" xmlns:p="http://schemas.microsoft.com/office/2006/metadata/properties" xmlns:ns3="7760b411-7b6d-4194-9bc1-d3644d14b3d4" targetNamespace="http://schemas.microsoft.com/office/2006/metadata/properties" ma:root="true" ma:fieldsID="d77d27509f0852c7acc89cb27b19e39b" ns3:_="">
    <xsd:import namespace="7760b411-7b6d-4194-9bc1-d3644d14b3d4"/>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0b411-7b6d-4194-9bc1-d3644d14b3d4"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b1cae6e-9e2f-46ea-8bcb-fddc3ba70290" ContentTypeId="0x0101" PreviousValue="false"/>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BD688-95AA-40CD-83E1-A14AA532A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0b411-7b6d-4194-9bc1-d3644d14b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E62048-8892-4A16-B6A4-B3CAC088D9A4}">
  <ds:schemaRefs>
    <ds:schemaRef ds:uri="http://schemas.microsoft.com/sharepoint/events"/>
  </ds:schemaRefs>
</ds:datastoreItem>
</file>

<file path=customXml/itemProps3.xml><?xml version="1.0" encoding="utf-8"?>
<ds:datastoreItem xmlns:ds="http://schemas.openxmlformats.org/officeDocument/2006/customXml" ds:itemID="{698DFB72-F9FE-4396-96C4-95A2E051E871}">
  <ds:schemaRefs>
    <ds:schemaRef ds:uri="http://schemas.microsoft.com/sharepoint/v3/contenttype/forms"/>
  </ds:schemaRefs>
</ds:datastoreItem>
</file>

<file path=customXml/itemProps4.xml><?xml version="1.0" encoding="utf-8"?>
<ds:datastoreItem xmlns:ds="http://schemas.openxmlformats.org/officeDocument/2006/customXml" ds:itemID="{8D4CC9A3-51FE-4F0C-8775-737CA6397986}">
  <ds:schemaRefs>
    <ds:schemaRef ds:uri="Microsoft.SharePoint.Taxonomy.ContentTypeSync"/>
  </ds:schemaRefs>
</ds:datastoreItem>
</file>

<file path=customXml/itemProps5.xml><?xml version="1.0" encoding="utf-8"?>
<ds:datastoreItem xmlns:ds="http://schemas.openxmlformats.org/officeDocument/2006/customXml" ds:itemID="{309A03C3-A6C4-4944-A70D-C7A7ADAE4F6A}">
  <ds:schemaRefs>
    <ds:schemaRef ds:uri="http://schemas.microsoft.com/office/2006/metadata/longProperties"/>
  </ds:schemaRefs>
</ds:datastoreItem>
</file>

<file path=customXml/itemProps6.xml><?xml version="1.0" encoding="utf-8"?>
<ds:datastoreItem xmlns:ds="http://schemas.openxmlformats.org/officeDocument/2006/customXml" ds:itemID="{DED9BEFC-9FAE-425C-8A48-28C86CC4BCE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760b411-7b6d-4194-9bc1-d3644d14b3d4"/>
    <ds:schemaRef ds:uri="http://www.w3.org/XML/1998/namespace"/>
    <ds:schemaRef ds:uri="http://purl.org/dc/dcmitype/"/>
  </ds:schemaRefs>
</ds:datastoreItem>
</file>

<file path=customXml/itemProps7.xml><?xml version="1.0" encoding="utf-8"?>
<ds:datastoreItem xmlns:ds="http://schemas.openxmlformats.org/officeDocument/2006/customXml" ds:itemID="{D4013295-C6B5-4C90-BB61-F67A3E693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100-18-19 PLU Approve 2nd Amendment to Millpointer Property Residential Use Agreement</vt:lpstr>
    </vt:vector>
  </TitlesOfParts>
  <Company>Waukesha County</Company>
  <LinksUpToDate>false</LinksUpToDate>
  <CharactersWithSpaces>4071</CharactersWithSpaces>
  <SharedDoc>false</SharedDoc>
  <HLinks>
    <vt:vector size="6" baseType="variant">
      <vt:variant>
        <vt:i4>524370</vt:i4>
      </vt:variant>
      <vt:variant>
        <vt:i4>2</vt:i4>
      </vt:variant>
      <vt:variant>
        <vt:i4>0</vt:i4>
      </vt:variant>
      <vt:variant>
        <vt:i4>5</vt:i4>
      </vt:variant>
      <vt:variant>
        <vt:lpwstr>http://nxt.legis.state.wi.us/nxt/gateway.dll?f=templates&amp;fn=default.htm&amp;d=stats&amp;jd=59.14(1m)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100-18-19 PLU Approve 2nd Amendment to Millpointer Property Residential Use Agreement</dc:title>
  <dc:subject/>
  <dc:creator>DCaldwell</dc:creator>
  <cp:keywords/>
  <dc:description/>
  <cp:lastModifiedBy>Kiser, Teresa</cp:lastModifiedBy>
  <cp:revision>2</cp:revision>
  <cp:lastPrinted>2019-04-01T15:37:00Z</cp:lastPrinted>
  <dcterms:created xsi:type="dcterms:W3CDTF">2019-04-01T15:38:00Z</dcterms:created>
  <dcterms:modified xsi:type="dcterms:W3CDTF">2019-04-01T15:38:00Z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Ordinance  and cover sheet form</vt:lpwstr>
  </property>
  <property fmtid="{D5CDD505-2E9C-101B-9397-08002B2CF9AE}" pid="3" name="Subject">
    <vt:lpwstr/>
  </property>
  <property fmtid="{D5CDD505-2E9C-101B-9397-08002B2CF9AE}" pid="4" name="Keywords">
    <vt:lpwstr/>
  </property>
  <property fmtid="{D5CDD505-2E9C-101B-9397-08002B2CF9AE}" pid="5" name="_Author">
    <vt:lpwstr>DCaldwell</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0x0101002E0933FBAC731642A705DC7E6F641A41</vt:lpwstr>
  </property>
  <property fmtid="{D5CDD505-2E9C-101B-9397-08002B2CF9AE}" pid="12" name="Order">
    <vt:r8>210500</vt:r8>
  </property>
  <property fmtid="{D5CDD505-2E9C-101B-9397-08002B2CF9AE}" pid="13" name="xd_ProgID">
    <vt:lpwstr/>
  </property>
  <property fmtid="{D5CDD505-2E9C-101B-9397-08002B2CF9AE}" pid="14" name="TemplateUrl">
    <vt:lpwstr/>
  </property>
  <property fmtid="{D5CDD505-2E9C-101B-9397-08002B2CF9AE}" pid="15" name="WorkingComment">
    <vt:lpwstr/>
  </property>
</Properties>
</file>